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65" w:rsidRPr="006C6E65" w:rsidRDefault="006C6E65" w:rsidP="006C6E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6C6E65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tbl>
      <w:tblPr>
        <w:tblW w:w="9983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983"/>
      </w:tblGrid>
      <w:tr w:rsidR="006C6E65" w:rsidRPr="006C6E65" w:rsidTr="006C6E65">
        <w:trPr>
          <w:tblCellSpacing w:w="7" w:type="dxa"/>
          <w:jc w:val="center"/>
        </w:trPr>
        <w:tc>
          <w:tcPr>
            <w:tcW w:w="0" w:type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tbl>
            <w:tblPr>
              <w:tblW w:w="6161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12"/>
              <w:gridCol w:w="1160"/>
              <w:gridCol w:w="1308"/>
              <w:gridCol w:w="2581"/>
            </w:tblGrid>
            <w:tr w:rsidR="006C6E65" w:rsidRPr="006C6E65" w:rsidTr="006C6E65">
              <w:tc>
                <w:tcPr>
                  <w:tcW w:w="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6C6E65" w:rsidRPr="006C6E65" w:rsidRDefault="006C6E65" w:rsidP="006C6E6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l-GR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l-GR"/>
                    </w:rPr>
                    <w:t>Η</w:t>
                  </w:r>
                  <w:r w:rsidRPr="006C6E65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l-GR"/>
                    </w:rPr>
                    <w:t>μ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l-GR"/>
                    </w:rPr>
                    <w:t>/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l-GR"/>
                    </w:rPr>
                    <w:t>νία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l-GR"/>
                    </w:rPr>
                    <w:t xml:space="preserve"> και ώρα</w:t>
                  </w:r>
                </w:p>
              </w:tc>
              <w:tc>
                <w:tcPr>
                  <w:tcW w:w="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6C6E65" w:rsidRPr="006C6E65" w:rsidRDefault="006C6E65" w:rsidP="006C6E6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l-GR"/>
                    </w:rPr>
                  </w:pPr>
                  <w:r w:rsidRPr="006C6E65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l-GR"/>
                    </w:rPr>
                    <w:t xml:space="preserve">Έως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l-GR"/>
                    </w:rPr>
                    <w:t>ημ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l-GR"/>
                    </w:rPr>
                    <w:t>/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l-GR"/>
                    </w:rPr>
                    <w:t>νία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l-GR"/>
                    </w:rPr>
                    <w:t xml:space="preserve"> και ώρα</w:t>
                  </w:r>
                </w:p>
              </w:tc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6C6E65" w:rsidRPr="006C6E65" w:rsidRDefault="006C6E65" w:rsidP="006C6E6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l-GR"/>
                    </w:rPr>
                  </w:pPr>
                  <w:r w:rsidRPr="006C6E65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l-GR"/>
                    </w:rPr>
                    <w:t>Δήμος/κοινότητα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DCDC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6C6E65" w:rsidRPr="006C6E65" w:rsidRDefault="006C6E65" w:rsidP="006C6E6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l-GR"/>
                    </w:rPr>
                  </w:pPr>
                  <w:r w:rsidRPr="006C6E65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el-GR"/>
                    </w:rPr>
                    <w:t>Περιγραφή περιοχής</w:t>
                  </w:r>
                </w:p>
              </w:tc>
            </w:tr>
            <w:tr w:rsidR="006C6E65" w:rsidRPr="006C6E65" w:rsidTr="006C6E6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6C6E65" w:rsidRPr="006C6E65" w:rsidRDefault="006C6E65" w:rsidP="006C6E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</w:pPr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4/3/2018 8:00:00 πμ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6C6E65" w:rsidRPr="006C6E65" w:rsidRDefault="006C6E65" w:rsidP="006C6E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</w:pPr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4/3/2018 10:00:00 πμ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6C6E65" w:rsidRPr="006C6E65" w:rsidRDefault="006C6E65" w:rsidP="006C6E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</w:pPr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ΚΙΛΕΛΕΡ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6C6E65" w:rsidRPr="006C6E65" w:rsidRDefault="006C6E65" w:rsidP="006C6E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</w:pPr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α) Δημοτικά Διαμερίσματα Δ. Κιλελέρ: Μ. Μοναστήρι, Αγροκήπιο,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Αγναντερή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β) ΕΡΓΟΑΣΦΑΛΤΙΚΗ, γ) Πελάτες κατά μήκος Ε.Ο. Λάρισας – Αθήνας από κόμβο Ν.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Περιβολίου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 μέχρι κόμβο Μ. Μοναστηρίου.</w:t>
                  </w:r>
                </w:p>
              </w:tc>
            </w:tr>
            <w:tr w:rsidR="006C6E65" w:rsidRPr="006C6E65" w:rsidTr="006C6E6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6C6E65" w:rsidRPr="006C6E65" w:rsidRDefault="006C6E65" w:rsidP="006C6E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</w:pPr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4/3/2018 8:00:00 πμ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6C6E65" w:rsidRPr="006C6E65" w:rsidRDefault="006C6E65" w:rsidP="006C6E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</w:pPr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4/3/2018 12:00:00 μμ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6C6E65" w:rsidRPr="006C6E65" w:rsidRDefault="006C6E65" w:rsidP="006C6E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</w:pPr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ΜΑΚΡΥΧΩΡΙΟΥ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6C6E65" w:rsidRPr="006C6E65" w:rsidRDefault="006C6E65" w:rsidP="006C6E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</w:pPr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α)Περιοχές Δημοτικών Διαμερισμάτων :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Ομόλιο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Στόμιο,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Καρίτσα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Βορειοανατολικό τμήμα στο Κόκκινο Νερό, Άνω και Κάτω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Αιγάνη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Μεσάγγαλα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Καστρί, Λουτρό, Κουλούρα,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Παλαιόπυργος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Καράβια,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Πυργετός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Περαταριά,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Ραψάνη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Κρανέα, β) Εργοτάξια Αυτοκινητοδρόμων Αιγαίου σε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Πυργετό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 και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Ομόλιο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γ) Υδροηλεκτρική Μονάδα στον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Πυργετό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δ) Ιερό Προσκύνημα Αγίας Παρασκευής Τεμπών, ε) Μοναστήρι Προφήτη Ηλία στον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Πυργετό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στ) Σήραγγα ΟΣΕ στην Περαταριά, ζ) Εργοστάσιο Ζωοτροφών Ε.Γ.Σ. στον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Πυργετό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η) ΒΕΤΟΜΙΧ, θ) Σταθμός Διοδίων στον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Πυργετό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.</w:t>
                  </w:r>
                </w:p>
              </w:tc>
            </w:tr>
            <w:tr w:rsidR="006C6E65" w:rsidRPr="006C6E65" w:rsidTr="006C6E6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6C6E65" w:rsidRPr="006C6E65" w:rsidRDefault="006C6E65" w:rsidP="006C6E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</w:pPr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4/3/2018 8:00:00 πμ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6C6E65" w:rsidRPr="006C6E65" w:rsidRDefault="006C6E65" w:rsidP="006C6E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</w:pPr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4/3/2018 12:00:00 μμ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6C6E65" w:rsidRPr="006C6E65" w:rsidRDefault="006C6E65" w:rsidP="006C6E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</w:pPr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ΜΑΚΡΥΧΩΡΙΟΥ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6C6E65" w:rsidRPr="006C6E65" w:rsidRDefault="006C6E65" w:rsidP="006C6E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</w:pPr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α)Περιοχές Δημοτικών Διαμερισμάτων :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Ομόλιο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Στόμιο,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Καρίτσα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Βορειοανατολικό τμήμα στο Κόκκινο Νερό, Άνω και Κάτω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Αιγάνη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Μεσάγγαλα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Καστρί, Λουτρό, Κουλούρα,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Παλαιόπυργος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Καράβια,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Πυργετός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Περαταριά,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Ραψάνη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Κρανέα, β) Εργοτάξια Αυτοκινητοδρόμων Αιγαίου σε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Πυργετό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 και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Ομόλιο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γ) Υδροηλεκτρική Μονάδα στον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Πυργετό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δ) Ιερό Προσκύνημα Αγίας Παρασκευής Τεμπών, ε) Μοναστήρι Προφήτη Ηλία στον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Πυργετό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στ) Σήραγγα ΟΣΕ στην Περαταριά, ζ) Εργοστάσιο Ζωοτροφών Ε.Γ.Σ. στον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Πυργετό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, η) ΒΕΤΟΜΙΧ, θ) Σταθμός Διοδίων στον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Πυργετό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.</w:t>
                  </w:r>
                </w:p>
              </w:tc>
            </w:tr>
            <w:tr w:rsidR="006C6E65" w:rsidRPr="006C6E65" w:rsidTr="006C6E6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6C6E65" w:rsidRPr="006C6E65" w:rsidRDefault="006C6E65" w:rsidP="006C6E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</w:pPr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4/3/2018 1:00:00 μμ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6C6E65" w:rsidRPr="006C6E65" w:rsidRDefault="006C6E65" w:rsidP="006C6E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</w:pPr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4/3/2018 3:00:00 μμ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6C6E65" w:rsidRPr="006C6E65" w:rsidRDefault="006C6E65" w:rsidP="006C6E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</w:pPr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ΤΥΡΝΑΒΟΥ</w:t>
                  </w:r>
                </w:p>
              </w:tc>
              <w:tc>
                <w:tcPr>
                  <w:tcW w:w="3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6C6E65" w:rsidRPr="006C6E65" w:rsidRDefault="006C6E65" w:rsidP="006C6E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</w:pPr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α) Δημοτικά Διαμερίσματα Αμπελώνα,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Βρυότοπου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 β) Συνοικία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Καρκαντζή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 στον Αμπελώνα γ) Βόρειο τμήμα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Γιάννουλης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 δ) Πελάτες κατά μήκος επαρχιακού δρόμου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Γιάννουλης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 – Αμπελώνα από Μάρμαρα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Κουκουράβα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 μέχρι Αμπελώνα ε) Πελάτες κατά μήκος επαρχιακού δρόμου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Γιάννουλης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 –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Τυρνάβου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 από </w:t>
                  </w:r>
                  <w:proofErr w:type="spellStart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>Γιάννουλη</w:t>
                  </w:r>
                  <w:proofErr w:type="spellEnd"/>
                  <w:r w:rsidRPr="006C6E65">
                    <w:rPr>
                      <w:rFonts w:ascii="Tahoma" w:eastAsia="Times New Roman" w:hAnsi="Tahoma" w:cs="Tahoma"/>
                      <w:sz w:val="14"/>
                      <w:szCs w:val="14"/>
                      <w:lang w:eastAsia="el-GR"/>
                    </w:rPr>
                    <w:t xml:space="preserve"> μέχρι πρώην ALEX - PAK.</w:t>
                  </w:r>
                </w:p>
              </w:tc>
            </w:tr>
          </w:tbl>
          <w:p w:rsidR="006C6E65" w:rsidRPr="006C6E65" w:rsidRDefault="006C6E65" w:rsidP="006C6E6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el-GR"/>
              </w:rPr>
            </w:pPr>
          </w:p>
        </w:tc>
      </w:tr>
    </w:tbl>
    <w:p w:rsidR="006C6E65" w:rsidRPr="006C6E65" w:rsidRDefault="006C6E65" w:rsidP="006C6E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6C6E65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7740CC" w:rsidRDefault="007740CC"/>
    <w:sectPr w:rsidR="007740CC" w:rsidSect="007740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C6E65"/>
    <w:rsid w:val="006C6E65"/>
    <w:rsid w:val="0077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C6E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6C6E65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C6E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6C6E65"/>
    <w:rPr>
      <w:rFonts w:ascii="Arial" w:eastAsia="Times New Roman" w:hAnsi="Arial" w:cs="Arial"/>
      <w:vanish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2018-03-01T18:52:00Z</dcterms:created>
  <dcterms:modified xsi:type="dcterms:W3CDTF">2018-03-01T18:56:00Z</dcterms:modified>
</cp:coreProperties>
</file>